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78E4" w:rsidRPr="001A57A8" w:rsidRDefault="001A57A8" w:rsidP="00933615">
      <w:pPr>
        <w:spacing w:after="0"/>
        <w:jc w:val="center"/>
        <w:rPr>
          <w:b/>
          <w:color w:val="3B6B27"/>
          <w:sz w:val="40"/>
          <w:szCs w:val="40"/>
        </w:rPr>
      </w:pPr>
      <w:r w:rsidRPr="001A57A8">
        <w:rPr>
          <w:b/>
          <w:noProof/>
          <w:color w:val="3B6B27"/>
          <w:sz w:val="40"/>
          <w:szCs w:val="40"/>
          <w:lang w:val="en-GB" w:eastAsia="en-GB"/>
        </w:rPr>
        <w:drawing>
          <wp:anchor distT="0" distB="0" distL="114300" distR="114300" simplePos="0" relativeHeight="251658240" behindDoc="0" locked="0" layoutInCell="1" allowOverlap="1" wp14:editId="1D22C686">
            <wp:simplePos x="0" y="0"/>
            <wp:positionH relativeFrom="column">
              <wp:posOffset>5112385</wp:posOffset>
            </wp:positionH>
            <wp:positionV relativeFrom="paragraph">
              <wp:posOffset>-536575</wp:posOffset>
            </wp:positionV>
            <wp:extent cx="1508125" cy="978535"/>
            <wp:effectExtent l="0" t="0" r="0" b="0"/>
            <wp:wrapNone/>
            <wp:docPr id="1" name="Picture 1" descr="3RP (2017-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RP (2017-201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08125" cy="978535"/>
                    </a:xfrm>
                    <a:prstGeom prst="rect">
                      <a:avLst/>
                    </a:prstGeom>
                    <a:noFill/>
                    <a:ln>
                      <a:noFill/>
                    </a:ln>
                  </pic:spPr>
                </pic:pic>
              </a:graphicData>
            </a:graphic>
            <wp14:sizeRelH relativeFrom="page">
              <wp14:pctWidth>0</wp14:pctWidth>
            </wp14:sizeRelH>
            <wp14:sizeRelV relativeFrom="page">
              <wp14:pctHeight>0</wp14:pctHeight>
            </wp14:sizeRelV>
          </wp:anchor>
        </w:drawing>
      </w:r>
      <w:r w:rsidR="00BE78E4" w:rsidRPr="001A57A8">
        <w:rPr>
          <w:b/>
          <w:color w:val="3B6B27"/>
          <w:sz w:val="40"/>
          <w:szCs w:val="40"/>
        </w:rPr>
        <w:t>3RP 2017-2018 PLANNING</w:t>
      </w:r>
    </w:p>
    <w:p w:rsidR="00DF39B6" w:rsidRPr="001A57A8" w:rsidRDefault="00BF4FE4" w:rsidP="009551BE">
      <w:pPr>
        <w:spacing w:after="0"/>
        <w:jc w:val="center"/>
        <w:rPr>
          <w:b/>
          <w:color w:val="3B6B27"/>
          <w:sz w:val="40"/>
          <w:szCs w:val="40"/>
        </w:rPr>
      </w:pPr>
      <w:r w:rsidRPr="001A57A8">
        <w:rPr>
          <w:b/>
          <w:color w:val="3B6B27"/>
          <w:sz w:val="40"/>
          <w:szCs w:val="40"/>
        </w:rPr>
        <w:t>GUIDANCE NOTE</w:t>
      </w:r>
      <w:r w:rsidR="00150FDE" w:rsidRPr="001A57A8">
        <w:rPr>
          <w:b/>
          <w:color w:val="3B6B27"/>
          <w:sz w:val="40"/>
          <w:szCs w:val="40"/>
        </w:rPr>
        <w:t xml:space="preserve"> </w:t>
      </w:r>
      <w:r w:rsidR="002B401D">
        <w:rPr>
          <w:b/>
          <w:color w:val="3B6B27"/>
          <w:sz w:val="40"/>
          <w:szCs w:val="40"/>
        </w:rPr>
        <w:t>10</w:t>
      </w:r>
    </w:p>
    <w:p w:rsidR="00BF4FE4" w:rsidRPr="00A36975" w:rsidRDefault="00BF4FE4" w:rsidP="00933615">
      <w:pPr>
        <w:spacing w:after="0"/>
        <w:jc w:val="center"/>
        <w:rPr>
          <w:b/>
          <w:color w:val="002060"/>
        </w:rPr>
      </w:pPr>
    </w:p>
    <w:p w:rsidR="003F543C" w:rsidRPr="001A57A8" w:rsidRDefault="009551BE" w:rsidP="003F543C">
      <w:pPr>
        <w:spacing w:after="0"/>
        <w:jc w:val="center"/>
        <w:rPr>
          <w:b/>
          <w:color w:val="9AC31C"/>
          <w:sz w:val="32"/>
          <w:szCs w:val="32"/>
        </w:rPr>
      </w:pPr>
      <w:r w:rsidRPr="009551BE">
        <w:rPr>
          <w:b/>
          <w:color w:val="9AC31C"/>
          <w:sz w:val="32"/>
          <w:szCs w:val="32"/>
        </w:rPr>
        <w:t>No Lost Generation for 2017-18</w:t>
      </w:r>
    </w:p>
    <w:p w:rsidR="00C33355" w:rsidRDefault="00C33355" w:rsidP="00933615">
      <w:pPr>
        <w:spacing w:after="0"/>
      </w:pPr>
    </w:p>
    <w:p w:rsidR="009551BE" w:rsidRDefault="009551BE" w:rsidP="009551BE">
      <w:pPr>
        <w:pStyle w:val="NoSpacing"/>
        <w:spacing w:after="120"/>
        <w:jc w:val="lowKashida"/>
        <w:rPr>
          <w:rFonts w:asciiTheme="majorHAnsi" w:eastAsiaTheme="majorEastAsia" w:hAnsiTheme="majorHAnsi" w:cstheme="majorBidi"/>
          <w:b/>
          <w:color w:val="3B6B27"/>
          <w:sz w:val="28"/>
          <w:szCs w:val="28"/>
        </w:rPr>
      </w:pPr>
      <w:r>
        <w:rPr>
          <w:rFonts w:asciiTheme="majorHAnsi" w:eastAsiaTheme="majorEastAsia" w:hAnsiTheme="majorHAnsi" w:cstheme="majorBidi"/>
          <w:b/>
          <w:color w:val="3B6B27"/>
          <w:sz w:val="28"/>
          <w:szCs w:val="28"/>
        </w:rPr>
        <w:t xml:space="preserve">1 </w:t>
      </w:r>
      <w:r w:rsidRPr="009551BE">
        <w:rPr>
          <w:rFonts w:asciiTheme="majorHAnsi" w:eastAsiaTheme="majorEastAsia" w:hAnsiTheme="majorHAnsi" w:cstheme="majorBidi"/>
          <w:b/>
          <w:color w:val="3B6B27"/>
          <w:sz w:val="28"/>
          <w:szCs w:val="28"/>
        </w:rPr>
        <w:t xml:space="preserve">No Lost Generation guidance </w:t>
      </w:r>
    </w:p>
    <w:p w:rsidR="009551BE" w:rsidRPr="009551BE" w:rsidRDefault="009551BE" w:rsidP="009551BE">
      <w:pPr>
        <w:pStyle w:val="NoSpacing"/>
        <w:spacing w:after="120"/>
        <w:jc w:val="lowKashida"/>
        <w:rPr>
          <w:b/>
          <w:bCs/>
        </w:rPr>
      </w:pPr>
      <w:r w:rsidRPr="009551BE">
        <w:rPr>
          <w:b/>
          <w:bCs/>
        </w:rPr>
        <w:t>What is No Lost Generation?</w:t>
      </w:r>
    </w:p>
    <w:p w:rsidR="009551BE" w:rsidRDefault="009551BE" w:rsidP="009551BE">
      <w:pPr>
        <w:pStyle w:val="NoSpacing"/>
        <w:spacing w:after="120"/>
        <w:jc w:val="lowKashida"/>
      </w:pPr>
      <w:r>
        <w:t xml:space="preserve">The No Lost Generation (NLG) initiative is a strategic framework which is built on and informs plans at country level including the Syria Response Plan (SRP), Iraq Humanitarian Response Plan (HRP) and Regional Refugee and Resilience Plan (3RP). </w:t>
      </w:r>
    </w:p>
    <w:p w:rsidR="009551BE" w:rsidRDefault="009551BE" w:rsidP="009551BE">
      <w:pPr>
        <w:pStyle w:val="NoSpacing"/>
        <w:spacing w:after="120"/>
        <w:jc w:val="lowKashida"/>
      </w:pPr>
    </w:p>
    <w:p w:rsidR="009551BE" w:rsidRPr="009551BE" w:rsidRDefault="009551BE" w:rsidP="009551BE">
      <w:pPr>
        <w:pStyle w:val="NoSpacing"/>
        <w:spacing w:after="120"/>
        <w:jc w:val="lowKashida"/>
        <w:rPr>
          <w:b/>
          <w:bCs/>
        </w:rPr>
      </w:pPr>
      <w:r w:rsidRPr="009551BE">
        <w:rPr>
          <w:b/>
          <w:bCs/>
        </w:rPr>
        <w:t>What are NLG Programmes?</w:t>
      </w:r>
    </w:p>
    <w:p w:rsidR="009551BE" w:rsidRDefault="009551BE" w:rsidP="009551BE">
      <w:pPr>
        <w:pStyle w:val="NoSpacing"/>
        <w:spacing w:after="120"/>
        <w:jc w:val="lowKashida"/>
      </w:pPr>
      <w:r>
        <w:t>With reference to the NLG Concept Note, any NLG programme must:</w:t>
      </w:r>
    </w:p>
    <w:p w:rsidR="009551BE" w:rsidRDefault="009551BE" w:rsidP="009551BE">
      <w:pPr>
        <w:pStyle w:val="NoSpacing"/>
        <w:numPr>
          <w:ilvl w:val="0"/>
          <w:numId w:val="47"/>
        </w:numPr>
        <w:spacing w:after="120"/>
        <w:jc w:val="lowKashida"/>
      </w:pPr>
      <w:r>
        <w:t>Contribute to at least one of the three pillars of NLG (Education, Child Protection and Adolescents &amp; Youth).</w:t>
      </w:r>
    </w:p>
    <w:p w:rsidR="009551BE" w:rsidRDefault="009551BE" w:rsidP="009551BE">
      <w:pPr>
        <w:pStyle w:val="NoSpacing"/>
        <w:numPr>
          <w:ilvl w:val="0"/>
          <w:numId w:val="47"/>
        </w:numPr>
        <w:spacing w:after="120"/>
        <w:jc w:val="lowKashida"/>
      </w:pPr>
      <w:r>
        <w:t>Demonstrate they aim to contribute to one or more of the outcomes under each pillar.</w:t>
      </w:r>
    </w:p>
    <w:p w:rsidR="009551BE" w:rsidRDefault="009551BE" w:rsidP="009551BE">
      <w:pPr>
        <w:pStyle w:val="NoSpacing"/>
        <w:numPr>
          <w:ilvl w:val="0"/>
          <w:numId w:val="47"/>
        </w:numPr>
        <w:spacing w:after="120"/>
        <w:jc w:val="lowKashida"/>
      </w:pPr>
      <w:r>
        <w:t>Deliver through at least one of the strategic approaches.</w:t>
      </w:r>
    </w:p>
    <w:p w:rsidR="009551BE" w:rsidRDefault="009551BE" w:rsidP="009551BE">
      <w:pPr>
        <w:pStyle w:val="NoSpacing"/>
        <w:numPr>
          <w:ilvl w:val="0"/>
          <w:numId w:val="47"/>
        </w:numPr>
        <w:spacing w:after="120"/>
        <w:jc w:val="lowKashida"/>
      </w:pPr>
      <w:r>
        <w:t xml:space="preserve">Be </w:t>
      </w:r>
      <w:r w:rsidR="009E2C6D">
        <w:t xml:space="preserve">contained </w:t>
      </w:r>
      <w:r>
        <w:t>with</w:t>
      </w:r>
      <w:r w:rsidR="009E2C6D">
        <w:t>in</w:t>
      </w:r>
      <w:r>
        <w:t xml:space="preserve"> the planning</w:t>
      </w:r>
      <w:r w:rsidR="009E2C6D">
        <w:t xml:space="preserve"> and results</w:t>
      </w:r>
      <w:r>
        <w:t xml:space="preserve"> framework of the 3RP.</w:t>
      </w:r>
    </w:p>
    <w:p w:rsidR="009551BE" w:rsidRDefault="009551BE" w:rsidP="009551BE">
      <w:pPr>
        <w:pStyle w:val="NoSpacing"/>
        <w:numPr>
          <w:ilvl w:val="0"/>
          <w:numId w:val="47"/>
        </w:numPr>
        <w:spacing w:after="120"/>
        <w:jc w:val="lowKashida"/>
      </w:pPr>
      <w:r>
        <w:t>Meet or be working towards internationally recognized quality standards.</w:t>
      </w:r>
    </w:p>
    <w:p w:rsidR="009E2C6D" w:rsidRDefault="009E2C6D" w:rsidP="00D80581">
      <w:pPr>
        <w:pStyle w:val="NoSpacing"/>
        <w:numPr>
          <w:ilvl w:val="0"/>
          <w:numId w:val="50"/>
        </w:numPr>
        <w:spacing w:after="120"/>
        <w:jc w:val="lowKashida"/>
      </w:pPr>
      <w:r w:rsidRPr="009551BE">
        <w:rPr>
          <w:b/>
          <w:bCs/>
        </w:rPr>
        <w:t xml:space="preserve">All </w:t>
      </w:r>
      <w:r>
        <w:rPr>
          <w:b/>
          <w:bCs/>
        </w:rPr>
        <w:t xml:space="preserve">3RP </w:t>
      </w:r>
      <w:r w:rsidRPr="009551BE">
        <w:rPr>
          <w:b/>
          <w:bCs/>
        </w:rPr>
        <w:t>Education programmes are considered NLG programmes</w:t>
      </w:r>
      <w:r>
        <w:t xml:space="preserve"> and do not require any kind of specific identification or tagging. </w:t>
      </w:r>
    </w:p>
    <w:p w:rsidR="009E2C6D" w:rsidRDefault="009E2C6D" w:rsidP="00D80581">
      <w:pPr>
        <w:pStyle w:val="NoSpacing"/>
        <w:numPr>
          <w:ilvl w:val="0"/>
          <w:numId w:val="50"/>
        </w:numPr>
        <w:spacing w:after="120"/>
        <w:jc w:val="lowKashida"/>
      </w:pPr>
      <w:r w:rsidRPr="009551BE">
        <w:rPr>
          <w:b/>
          <w:bCs/>
        </w:rPr>
        <w:t xml:space="preserve">All </w:t>
      </w:r>
      <w:r>
        <w:rPr>
          <w:b/>
          <w:bCs/>
        </w:rPr>
        <w:t xml:space="preserve">3RP </w:t>
      </w:r>
      <w:r w:rsidRPr="009551BE">
        <w:rPr>
          <w:b/>
          <w:bCs/>
        </w:rPr>
        <w:t xml:space="preserve">Child protection programmes </w:t>
      </w:r>
      <w:r w:rsidR="00BB50E3">
        <w:rPr>
          <w:b/>
          <w:bCs/>
        </w:rPr>
        <w:t xml:space="preserve">in the Protection sector </w:t>
      </w:r>
      <w:r w:rsidRPr="009551BE">
        <w:rPr>
          <w:b/>
          <w:bCs/>
        </w:rPr>
        <w:t>are considered NLG programmes</w:t>
      </w:r>
      <w:r>
        <w:t xml:space="preserve"> and do not require any kind of specific identification or tagging.</w:t>
      </w:r>
    </w:p>
    <w:p w:rsidR="009E2C6D" w:rsidRDefault="009E2C6D" w:rsidP="009E2C6D">
      <w:pPr>
        <w:pStyle w:val="NoSpacing"/>
        <w:numPr>
          <w:ilvl w:val="0"/>
          <w:numId w:val="50"/>
        </w:numPr>
        <w:spacing w:after="120"/>
        <w:jc w:val="lowKashida"/>
      </w:pPr>
      <w:r w:rsidRPr="009E2C6D">
        <w:rPr>
          <w:b/>
          <w:bCs/>
        </w:rPr>
        <w:t xml:space="preserve">Some programmes in </w:t>
      </w:r>
      <w:r w:rsidR="00634798">
        <w:rPr>
          <w:b/>
          <w:bCs/>
        </w:rPr>
        <w:t>three other</w:t>
      </w:r>
      <w:r w:rsidRPr="009E2C6D">
        <w:rPr>
          <w:b/>
          <w:bCs/>
        </w:rPr>
        <w:t xml:space="preserve"> sectors</w:t>
      </w:r>
      <w:r w:rsidR="00634798">
        <w:t>:</w:t>
      </w:r>
      <w:r>
        <w:t xml:space="preserve"> Livelihoods, Social Cohesion, Protection</w:t>
      </w:r>
      <w:r w:rsidR="00BB50E3">
        <w:t xml:space="preserve"> including GBV</w:t>
      </w:r>
      <w:r>
        <w:t xml:space="preserve">, which target children, adolescents and/ or youth also contribute to NLG outcomes and should be identified as such in the sector response matrix. Please see the 3RP guidance on adolescents and youth for further information. </w:t>
      </w:r>
    </w:p>
    <w:p w:rsidR="009551BE" w:rsidRDefault="009551BE" w:rsidP="009551BE">
      <w:pPr>
        <w:pStyle w:val="NoSpacing"/>
        <w:spacing w:after="120"/>
        <w:jc w:val="lowKashida"/>
      </w:pPr>
    </w:p>
    <w:p w:rsidR="009551BE" w:rsidRPr="009551BE" w:rsidRDefault="009551BE" w:rsidP="009551BE">
      <w:pPr>
        <w:pStyle w:val="NoSpacing"/>
        <w:spacing w:after="120"/>
        <w:jc w:val="lowKashida"/>
        <w:rPr>
          <w:b/>
          <w:bCs/>
        </w:rPr>
      </w:pPr>
      <w:r w:rsidRPr="009551BE">
        <w:rPr>
          <w:b/>
          <w:bCs/>
        </w:rPr>
        <w:t xml:space="preserve">How should NLG programmes be presented in the 3RP? </w:t>
      </w:r>
    </w:p>
    <w:p w:rsidR="009E2C6D" w:rsidRPr="009E2C6D" w:rsidRDefault="009E2C6D" w:rsidP="00E267D1">
      <w:pPr>
        <w:pStyle w:val="NoSpacing"/>
        <w:spacing w:after="120"/>
        <w:jc w:val="lowKashida"/>
      </w:pPr>
      <w:r w:rsidRPr="00540D40">
        <w:rPr>
          <w:b/>
          <w:bCs/>
        </w:rPr>
        <w:t>The</w:t>
      </w:r>
      <w:r w:rsidR="00634798">
        <w:rPr>
          <w:b/>
          <w:bCs/>
        </w:rPr>
        <w:t>re is no need to tag or identify any Child Protection or Education programmes specifically, these are all considered NLG by default.  For Livelihoods, Social Cohesion or Protection</w:t>
      </w:r>
      <w:r w:rsidR="007005C1">
        <w:rPr>
          <w:b/>
          <w:bCs/>
        </w:rPr>
        <w:t xml:space="preserve"> programmes which target adolescents and/or youth and therefore contribute to NLG, budgets </w:t>
      </w:r>
      <w:r w:rsidRPr="00540D40">
        <w:rPr>
          <w:b/>
          <w:bCs/>
        </w:rPr>
        <w:t xml:space="preserve">should be listed in the </w:t>
      </w:r>
      <w:r w:rsidR="007005C1">
        <w:rPr>
          <w:b/>
          <w:bCs/>
        </w:rPr>
        <w:t>adolescent / youth</w:t>
      </w:r>
      <w:r w:rsidRPr="00540D40">
        <w:rPr>
          <w:b/>
          <w:bCs/>
        </w:rPr>
        <w:t xml:space="preserve"> budget column</w:t>
      </w:r>
      <w:r w:rsidRPr="009E2C6D">
        <w:rPr>
          <w:b/>
          <w:bCs/>
        </w:rPr>
        <w:t xml:space="preserve"> in the </w:t>
      </w:r>
      <w:r w:rsidR="00AA0950">
        <w:rPr>
          <w:b/>
          <w:bCs/>
        </w:rPr>
        <w:t>S</w:t>
      </w:r>
      <w:r w:rsidRPr="009E2C6D">
        <w:rPr>
          <w:b/>
          <w:bCs/>
        </w:rPr>
        <w:t>ector</w:t>
      </w:r>
      <w:r w:rsidR="00AA0950">
        <w:rPr>
          <w:b/>
          <w:bCs/>
        </w:rPr>
        <w:t xml:space="preserve"> and Agency R</w:t>
      </w:r>
      <w:r w:rsidRPr="009E2C6D">
        <w:rPr>
          <w:b/>
          <w:bCs/>
        </w:rPr>
        <w:t xml:space="preserve">esponse </w:t>
      </w:r>
      <w:r w:rsidR="00AA0950">
        <w:rPr>
          <w:b/>
          <w:bCs/>
        </w:rPr>
        <w:t>M</w:t>
      </w:r>
      <w:r w:rsidRPr="009E2C6D">
        <w:rPr>
          <w:b/>
          <w:bCs/>
        </w:rPr>
        <w:t>atrix</w:t>
      </w:r>
      <w:r w:rsidR="00AA0950">
        <w:rPr>
          <w:b/>
          <w:bCs/>
        </w:rPr>
        <w:t xml:space="preserve"> (Template B)</w:t>
      </w:r>
      <w:r w:rsidRPr="009E2C6D">
        <w:rPr>
          <w:b/>
          <w:bCs/>
        </w:rPr>
        <w:t>.</w:t>
      </w:r>
      <w:r w:rsidRPr="00D80581">
        <w:rPr>
          <w:bCs/>
        </w:rPr>
        <w:t xml:space="preserve"> In situations where a programme contributes in part to NLG outcomes </w:t>
      </w:r>
      <w:r w:rsidRPr="00540D40">
        <w:rPr>
          <w:bCs/>
        </w:rPr>
        <w:t>the relevant estimated</w:t>
      </w:r>
      <w:r w:rsidRPr="00D80581">
        <w:rPr>
          <w:bCs/>
        </w:rPr>
        <w:t xml:space="preserve"> proportion of that programme budget should be listed in the </w:t>
      </w:r>
      <w:r w:rsidR="007005C1">
        <w:rPr>
          <w:bCs/>
        </w:rPr>
        <w:t>adolescent/youth</w:t>
      </w:r>
      <w:r w:rsidRPr="00D80581">
        <w:rPr>
          <w:bCs/>
        </w:rPr>
        <w:t xml:space="preserve"> budget column in the sector response matrix</w:t>
      </w:r>
      <w:r w:rsidRPr="00540D40">
        <w:rPr>
          <w:bCs/>
        </w:rPr>
        <w:t xml:space="preserve">. </w:t>
      </w:r>
      <w:r>
        <w:rPr>
          <w:bCs/>
        </w:rPr>
        <w:t xml:space="preserve">For example, if a livelihoods programme is anticipated to reach x beneficiaries, of which 50% are likely to be youth, then 50% of the programme budget should be listed in the </w:t>
      </w:r>
      <w:r w:rsidR="007005C1">
        <w:rPr>
          <w:bCs/>
        </w:rPr>
        <w:t>adolescent/youth</w:t>
      </w:r>
      <w:r>
        <w:rPr>
          <w:bCs/>
        </w:rPr>
        <w:t xml:space="preserve"> budget column. </w:t>
      </w:r>
    </w:p>
    <w:p w:rsidR="009551BE" w:rsidRPr="009E2C6D" w:rsidRDefault="009551BE" w:rsidP="00E267D1">
      <w:pPr>
        <w:pStyle w:val="NoSpacing"/>
        <w:spacing w:after="120"/>
        <w:jc w:val="lowKashida"/>
      </w:pPr>
      <w:r w:rsidRPr="009E2C6D">
        <w:rPr>
          <w:b/>
          <w:bCs/>
        </w:rPr>
        <w:lastRenderedPageBreak/>
        <w:t>All NLG programmes should</w:t>
      </w:r>
      <w:r w:rsidRPr="00D80581">
        <w:rPr>
          <w:b/>
        </w:rPr>
        <w:t xml:space="preserve"> collect sex and age disaggregated data on results</w:t>
      </w:r>
      <w:r w:rsidRPr="00540D40">
        <w:t>, using the age categories relevant to their sector, however aiming as much as feasible to disaggregate &amp; report data for children, adolescents and youth.</w:t>
      </w:r>
    </w:p>
    <w:p w:rsidR="009551BE" w:rsidRDefault="009551BE" w:rsidP="009551BE">
      <w:pPr>
        <w:pStyle w:val="NoSpacing"/>
        <w:spacing w:after="120"/>
        <w:jc w:val="lowKashida"/>
      </w:pPr>
    </w:p>
    <w:p w:rsidR="009551BE" w:rsidRDefault="009551BE" w:rsidP="009551BE">
      <w:pPr>
        <w:pStyle w:val="NoSpacing"/>
        <w:spacing w:after="120"/>
        <w:jc w:val="lowKashida"/>
      </w:pPr>
      <w:r w:rsidRPr="009551BE">
        <w:rPr>
          <w:b/>
          <w:bCs/>
        </w:rPr>
        <w:t>Why is it important for sectors other than Education and Child Protection to identify</w:t>
      </w:r>
      <w:r w:rsidR="009E2C6D">
        <w:rPr>
          <w:b/>
          <w:bCs/>
        </w:rPr>
        <w:t xml:space="preserve"> and demonstrate which programmes which are reaching adolescents and youth and contributing to NLG outcomes? </w:t>
      </w:r>
    </w:p>
    <w:p w:rsidR="009551BE" w:rsidRDefault="009551BE" w:rsidP="009551BE">
      <w:pPr>
        <w:pStyle w:val="NoSpacing"/>
        <w:spacing w:after="120"/>
        <w:jc w:val="lowKashida"/>
      </w:pPr>
      <w:r>
        <w:t xml:space="preserve">The NLG has proven to be a powerful fundraising tool. The concept of combining strategic efforts across sectors to secure a decent future for children, adolescents and youth affected by the Syria and Iraq crises has generated significant donor interest in and funding for the response. It is therefore important that we identify the full extent of funding required for NLG programmes so that we can advocate for this funding, track the funding gap and continue to get the most benefit possible for all relevant sectors out of donor support for the NLG. If we simply use the budgets of the education and child protection sectors to advocate for and track NLG funding, we risk missing a considerable portion of the full cost of NLG. </w:t>
      </w:r>
    </w:p>
    <w:p w:rsidR="009551BE" w:rsidRPr="00D214AE" w:rsidRDefault="009551BE" w:rsidP="009551BE">
      <w:pPr>
        <w:pStyle w:val="NoSpacing"/>
        <w:spacing w:after="120"/>
        <w:jc w:val="lowKashida"/>
        <w:rPr>
          <w:sz w:val="4"/>
          <w:szCs w:val="4"/>
        </w:rPr>
      </w:pPr>
    </w:p>
    <w:p w:rsidR="009551BE" w:rsidRDefault="009551BE" w:rsidP="009551BE">
      <w:pPr>
        <w:pStyle w:val="NoSpacing"/>
        <w:spacing w:after="120"/>
        <w:jc w:val="lowKashida"/>
      </w:pPr>
      <w:r>
        <w:t xml:space="preserve">As NLG partners all our organizations have emphasized how important the programming is in sectors beyond Education and Child Protection to achieving NLG goals – stressing for example the importance of livelihoods, social cohesion, cash and civil documentation, which are becoming priority issues for adolescents and youth. The 3RP planning gives us a chance to identify and quantify this contribution, strengthening our case. </w:t>
      </w:r>
    </w:p>
    <w:p w:rsidR="009551BE" w:rsidRDefault="009551BE" w:rsidP="009551BE">
      <w:pPr>
        <w:pStyle w:val="NoSpacing"/>
        <w:spacing w:after="120"/>
        <w:jc w:val="lowKashida"/>
      </w:pPr>
    </w:p>
    <w:p w:rsidR="009551BE" w:rsidRPr="009551BE" w:rsidRDefault="009551BE" w:rsidP="009551BE">
      <w:pPr>
        <w:pStyle w:val="NoSpacing"/>
        <w:spacing w:after="120"/>
        <w:jc w:val="lowKashida"/>
        <w:rPr>
          <w:b/>
          <w:bCs/>
        </w:rPr>
      </w:pPr>
      <w:r w:rsidRPr="009551BE">
        <w:rPr>
          <w:b/>
          <w:bCs/>
        </w:rPr>
        <w:t>Which programmes in other sectors other than Education and Child Protection should be identified as NLG programmes in the 3RP sector response matrices?</w:t>
      </w:r>
    </w:p>
    <w:p w:rsidR="009551BE" w:rsidRDefault="009551BE" w:rsidP="009551BE">
      <w:pPr>
        <w:pStyle w:val="NoSpacing"/>
        <w:spacing w:after="120"/>
        <w:jc w:val="lowKashida"/>
      </w:pPr>
      <w:r>
        <w:t xml:space="preserve">Any programmes which are intended to contribute to Education or Child Protection outcomes (the first and second pillars of NLG) </w:t>
      </w:r>
      <w:r w:rsidR="003A153C">
        <w:t>are</w:t>
      </w:r>
      <w:r>
        <w:t xml:space="preserve"> considered NLG programmes. </w:t>
      </w:r>
    </w:p>
    <w:p w:rsidR="009551BE" w:rsidRPr="00D214AE" w:rsidRDefault="009551BE" w:rsidP="009551BE">
      <w:pPr>
        <w:pStyle w:val="NoSpacing"/>
        <w:spacing w:after="120"/>
        <w:jc w:val="lowKashida"/>
        <w:rPr>
          <w:sz w:val="2"/>
          <w:szCs w:val="2"/>
        </w:rPr>
      </w:pPr>
    </w:p>
    <w:p w:rsidR="009551BE" w:rsidRDefault="009551BE" w:rsidP="009551BE">
      <w:pPr>
        <w:pStyle w:val="NoSpacing"/>
        <w:spacing w:after="120"/>
        <w:jc w:val="lowKashida"/>
      </w:pPr>
      <w:r>
        <w:t>Additionally, any programmes</w:t>
      </w:r>
      <w:r w:rsidR="007005C1">
        <w:t xml:space="preserve"> in the Livelihoods, Social Cohesion and Protection sectors</w:t>
      </w:r>
      <w:r>
        <w:t xml:space="preserve"> contributing to Adolescent and Youth outcomes (pillar 3 of NLG) should be considered an NLG programme. The outcome of this pillar is described as: </w:t>
      </w:r>
      <w:bookmarkStart w:id="0" w:name="_GoBack"/>
      <w:bookmarkEnd w:id="0"/>
    </w:p>
    <w:p w:rsidR="009551BE" w:rsidRPr="00D214AE" w:rsidRDefault="009551BE" w:rsidP="009551BE">
      <w:pPr>
        <w:pStyle w:val="NoSpacing"/>
        <w:spacing w:after="120"/>
        <w:jc w:val="lowKashida"/>
        <w:rPr>
          <w:sz w:val="2"/>
          <w:szCs w:val="2"/>
        </w:rPr>
      </w:pPr>
    </w:p>
    <w:p w:rsidR="009551BE" w:rsidRPr="0003570F" w:rsidRDefault="009551BE" w:rsidP="009551BE">
      <w:pPr>
        <w:pStyle w:val="NoSpacing"/>
        <w:spacing w:after="120"/>
        <w:jc w:val="lowKashida"/>
        <w:rPr>
          <w:i/>
          <w:iCs/>
        </w:rPr>
      </w:pPr>
      <w:r w:rsidRPr="0003570F">
        <w:rPr>
          <w:i/>
          <w:iCs/>
        </w:rPr>
        <w:t>Adolescents and youth are better able to contribute to resilience and social cohesion in their communities</w:t>
      </w:r>
      <w:r w:rsidR="0003570F">
        <w:rPr>
          <w:rStyle w:val="FootnoteReference"/>
          <w:i/>
          <w:iCs/>
        </w:rPr>
        <w:footnoteReference w:id="1"/>
      </w:r>
      <w:r w:rsidRPr="0003570F">
        <w:rPr>
          <w:i/>
          <w:iCs/>
        </w:rPr>
        <w:t xml:space="preserve">. </w:t>
      </w:r>
    </w:p>
    <w:p w:rsidR="009551BE" w:rsidRPr="00D214AE" w:rsidRDefault="009551BE" w:rsidP="009551BE">
      <w:pPr>
        <w:pStyle w:val="NoSpacing"/>
        <w:spacing w:after="120"/>
        <w:jc w:val="lowKashida"/>
        <w:rPr>
          <w:sz w:val="8"/>
          <w:szCs w:val="8"/>
        </w:rPr>
      </w:pPr>
    </w:p>
    <w:p w:rsidR="009551BE" w:rsidRDefault="009551BE" w:rsidP="0003570F">
      <w:pPr>
        <w:pStyle w:val="NoSpacing"/>
        <w:numPr>
          <w:ilvl w:val="0"/>
          <w:numId w:val="49"/>
        </w:numPr>
        <w:spacing w:after="120"/>
        <w:jc w:val="lowKashida"/>
      </w:pPr>
      <w:r>
        <w:t xml:space="preserve">Adolescent girls and boys and youth are empowered to inspire and lead change in their communities and are given opportunities to grow to their full potential and participate in processes that influence their lives. </w:t>
      </w:r>
    </w:p>
    <w:p w:rsidR="009551BE" w:rsidRDefault="009551BE" w:rsidP="0003570F">
      <w:pPr>
        <w:pStyle w:val="NoSpacing"/>
        <w:numPr>
          <w:ilvl w:val="0"/>
          <w:numId w:val="49"/>
        </w:numPr>
        <w:spacing w:after="120"/>
        <w:jc w:val="lowKashida"/>
      </w:pPr>
      <w:r>
        <w:t xml:space="preserve">Mechanisms for networking and mentorship for adolescents and youth are increased within and across countries. </w:t>
      </w:r>
    </w:p>
    <w:p w:rsidR="009551BE" w:rsidRDefault="009551BE" w:rsidP="0003570F">
      <w:pPr>
        <w:pStyle w:val="NoSpacing"/>
        <w:numPr>
          <w:ilvl w:val="0"/>
          <w:numId w:val="49"/>
        </w:numPr>
        <w:spacing w:after="120"/>
        <w:jc w:val="lowKashida"/>
      </w:pPr>
      <w:r>
        <w:t>Adolescents and youth are increasingly engaged as partners in evidence generation, programming, and advocacy to amplify their voices, improve programming and protect their rights.</w:t>
      </w:r>
    </w:p>
    <w:p w:rsidR="009551BE" w:rsidRDefault="009551BE" w:rsidP="00D80581">
      <w:pPr>
        <w:pStyle w:val="NoSpacing"/>
        <w:numPr>
          <w:ilvl w:val="0"/>
          <w:numId w:val="49"/>
        </w:numPr>
        <w:spacing w:after="120"/>
        <w:jc w:val="lowKashida"/>
      </w:pPr>
      <w:r>
        <w:t xml:space="preserve">In line with national legislation frameworks youth have expanded livelihoods opportunities. </w:t>
      </w:r>
    </w:p>
    <w:sectPr w:rsidR="009551BE" w:rsidSect="00820361">
      <w:headerReference w:type="even" r:id="rId9"/>
      <w:headerReference w:type="default" r:id="rId10"/>
      <w:footerReference w:type="even" r:id="rId11"/>
      <w:footerReference w:type="default" r:id="rId12"/>
      <w:headerReference w:type="first" r:id="rId13"/>
      <w:footerReference w:type="first" r:id="rId14"/>
      <w:pgSz w:w="12240" w:h="15840"/>
      <w:pgMar w:top="1170" w:right="1260" w:bottom="1530" w:left="1440" w:header="720" w:footer="27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5E8F" w:rsidRDefault="00835E8F" w:rsidP="00BF4FE4">
      <w:pPr>
        <w:spacing w:after="0" w:line="240" w:lineRule="auto"/>
      </w:pPr>
      <w:r>
        <w:separator/>
      </w:r>
    </w:p>
    <w:p w:rsidR="00835E8F" w:rsidRDefault="00835E8F"/>
  </w:endnote>
  <w:endnote w:type="continuationSeparator" w:id="0">
    <w:p w:rsidR="00835E8F" w:rsidRDefault="00835E8F" w:rsidP="00BF4FE4">
      <w:pPr>
        <w:spacing w:after="0" w:line="240" w:lineRule="auto"/>
      </w:pPr>
      <w:r>
        <w:continuationSeparator/>
      </w:r>
    </w:p>
    <w:p w:rsidR="00835E8F" w:rsidRDefault="00835E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Optima LT Std">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Optima LT Std DemiBold">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0F" w:rsidRDefault="0003570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2924622"/>
      <w:docPartObj>
        <w:docPartGallery w:val="Page Numbers (Bottom of Page)"/>
        <w:docPartUnique/>
      </w:docPartObj>
    </w:sdtPr>
    <w:sdtEndPr>
      <w:rPr>
        <w:noProof/>
      </w:rPr>
    </w:sdtEndPr>
    <w:sdtContent>
      <w:p w:rsidR="003C2B9D" w:rsidRDefault="003C2B9D">
        <w:pPr>
          <w:pStyle w:val="Footer"/>
          <w:jc w:val="center"/>
        </w:pPr>
        <w:r>
          <w:fldChar w:fldCharType="begin"/>
        </w:r>
        <w:r>
          <w:instrText xml:space="preserve"> PAGE   \* MERGEFORMAT </w:instrText>
        </w:r>
        <w:r>
          <w:fldChar w:fldCharType="separate"/>
        </w:r>
        <w:r w:rsidR="00111C3A">
          <w:rPr>
            <w:noProof/>
          </w:rPr>
          <w:t>2</w:t>
        </w:r>
        <w:r>
          <w:rPr>
            <w:noProof/>
          </w:rPr>
          <w:fldChar w:fldCharType="end"/>
        </w:r>
      </w:p>
    </w:sdtContent>
  </w:sdt>
  <w:p w:rsidR="00AC3ECD" w:rsidRDefault="00AC3ECD"/>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0F" w:rsidRDefault="0003570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5E8F" w:rsidRDefault="00835E8F" w:rsidP="00BF4FE4">
      <w:pPr>
        <w:spacing w:after="0" w:line="240" w:lineRule="auto"/>
      </w:pPr>
      <w:r>
        <w:separator/>
      </w:r>
    </w:p>
    <w:p w:rsidR="00835E8F" w:rsidRDefault="00835E8F"/>
  </w:footnote>
  <w:footnote w:type="continuationSeparator" w:id="0">
    <w:p w:rsidR="00835E8F" w:rsidRDefault="00835E8F" w:rsidP="00BF4FE4">
      <w:pPr>
        <w:spacing w:after="0" w:line="240" w:lineRule="auto"/>
      </w:pPr>
      <w:r>
        <w:continuationSeparator/>
      </w:r>
    </w:p>
    <w:p w:rsidR="00835E8F" w:rsidRDefault="00835E8F"/>
  </w:footnote>
  <w:footnote w:id="1">
    <w:p w:rsidR="0003570F" w:rsidRPr="00D80581" w:rsidRDefault="0003570F">
      <w:pPr>
        <w:pStyle w:val="FootnoteText"/>
        <w:rPr>
          <w:sz w:val="18"/>
          <w:szCs w:val="18"/>
        </w:rPr>
      </w:pPr>
      <w:r w:rsidRPr="00D80581">
        <w:rPr>
          <w:rStyle w:val="FootnoteReference"/>
          <w:sz w:val="18"/>
          <w:szCs w:val="18"/>
        </w:rPr>
        <w:footnoteRef/>
      </w:r>
      <w:r w:rsidRPr="00D80581">
        <w:rPr>
          <w:sz w:val="18"/>
          <w:szCs w:val="18"/>
        </w:rPr>
        <w:t xml:space="preserve"> UNICEF and partners define adolescents as those between the ages of 10 and 19 years, and youth as those between the ages of 15 and 24 years. These are indicative age brackets that may vary from context to context.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0F" w:rsidRDefault="0003570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0F" w:rsidRDefault="0003570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0F" w:rsidRDefault="0003570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576AB"/>
    <w:multiLevelType w:val="hybridMultilevel"/>
    <w:tmpl w:val="A5C6131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325FE"/>
    <w:multiLevelType w:val="hybridMultilevel"/>
    <w:tmpl w:val="73528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9256E9"/>
    <w:multiLevelType w:val="hybridMultilevel"/>
    <w:tmpl w:val="CA48E6A4"/>
    <w:lvl w:ilvl="0" w:tplc="08090001">
      <w:start w:val="1"/>
      <w:numFmt w:val="bullet"/>
      <w:lvlText w:val=""/>
      <w:lvlJc w:val="left"/>
      <w:pPr>
        <w:ind w:left="578" w:hanging="360"/>
      </w:pPr>
      <w:rPr>
        <w:rFonts w:ascii="Symbol" w:hAnsi="Symbol" w:hint="default"/>
      </w:rPr>
    </w:lvl>
    <w:lvl w:ilvl="1" w:tplc="08090003" w:tentative="1">
      <w:start w:val="1"/>
      <w:numFmt w:val="bullet"/>
      <w:lvlText w:val="o"/>
      <w:lvlJc w:val="left"/>
      <w:pPr>
        <w:ind w:left="1298" w:hanging="360"/>
      </w:pPr>
      <w:rPr>
        <w:rFonts w:ascii="Courier New" w:hAnsi="Courier New" w:cs="Courier New" w:hint="default"/>
      </w:rPr>
    </w:lvl>
    <w:lvl w:ilvl="2" w:tplc="08090005" w:tentative="1">
      <w:start w:val="1"/>
      <w:numFmt w:val="bullet"/>
      <w:lvlText w:val=""/>
      <w:lvlJc w:val="left"/>
      <w:pPr>
        <w:ind w:left="2018" w:hanging="360"/>
      </w:pPr>
      <w:rPr>
        <w:rFonts w:ascii="Wingdings" w:hAnsi="Wingdings" w:hint="default"/>
      </w:rPr>
    </w:lvl>
    <w:lvl w:ilvl="3" w:tplc="08090001">
      <w:start w:val="1"/>
      <w:numFmt w:val="bullet"/>
      <w:lvlText w:val=""/>
      <w:lvlJc w:val="left"/>
      <w:pPr>
        <w:ind w:left="2738" w:hanging="360"/>
      </w:pPr>
      <w:rPr>
        <w:rFonts w:ascii="Symbol" w:hAnsi="Symbol" w:hint="default"/>
      </w:rPr>
    </w:lvl>
    <w:lvl w:ilvl="4" w:tplc="08090003" w:tentative="1">
      <w:start w:val="1"/>
      <w:numFmt w:val="bullet"/>
      <w:lvlText w:val="o"/>
      <w:lvlJc w:val="left"/>
      <w:pPr>
        <w:ind w:left="3458" w:hanging="360"/>
      </w:pPr>
      <w:rPr>
        <w:rFonts w:ascii="Courier New" w:hAnsi="Courier New" w:cs="Courier New" w:hint="default"/>
      </w:rPr>
    </w:lvl>
    <w:lvl w:ilvl="5" w:tplc="08090005" w:tentative="1">
      <w:start w:val="1"/>
      <w:numFmt w:val="bullet"/>
      <w:lvlText w:val=""/>
      <w:lvlJc w:val="left"/>
      <w:pPr>
        <w:ind w:left="4178" w:hanging="360"/>
      </w:pPr>
      <w:rPr>
        <w:rFonts w:ascii="Wingdings" w:hAnsi="Wingdings" w:hint="default"/>
      </w:rPr>
    </w:lvl>
    <w:lvl w:ilvl="6" w:tplc="08090001" w:tentative="1">
      <w:start w:val="1"/>
      <w:numFmt w:val="bullet"/>
      <w:lvlText w:val=""/>
      <w:lvlJc w:val="left"/>
      <w:pPr>
        <w:ind w:left="4898" w:hanging="360"/>
      </w:pPr>
      <w:rPr>
        <w:rFonts w:ascii="Symbol" w:hAnsi="Symbol" w:hint="default"/>
      </w:rPr>
    </w:lvl>
    <w:lvl w:ilvl="7" w:tplc="08090003" w:tentative="1">
      <w:start w:val="1"/>
      <w:numFmt w:val="bullet"/>
      <w:lvlText w:val="o"/>
      <w:lvlJc w:val="left"/>
      <w:pPr>
        <w:ind w:left="5618" w:hanging="360"/>
      </w:pPr>
      <w:rPr>
        <w:rFonts w:ascii="Courier New" w:hAnsi="Courier New" w:cs="Courier New" w:hint="default"/>
      </w:rPr>
    </w:lvl>
    <w:lvl w:ilvl="8" w:tplc="08090005" w:tentative="1">
      <w:start w:val="1"/>
      <w:numFmt w:val="bullet"/>
      <w:lvlText w:val=""/>
      <w:lvlJc w:val="left"/>
      <w:pPr>
        <w:ind w:left="6338" w:hanging="360"/>
      </w:pPr>
      <w:rPr>
        <w:rFonts w:ascii="Wingdings" w:hAnsi="Wingdings" w:hint="default"/>
      </w:rPr>
    </w:lvl>
  </w:abstractNum>
  <w:abstractNum w:abstractNumId="3" w15:restartNumberingAfterBreak="0">
    <w:nsid w:val="1BE4333E"/>
    <w:multiLevelType w:val="hybridMultilevel"/>
    <w:tmpl w:val="1C74DC30"/>
    <w:lvl w:ilvl="0" w:tplc="04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CD0062E"/>
    <w:multiLevelType w:val="hybridMultilevel"/>
    <w:tmpl w:val="6108DD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29A2523"/>
    <w:multiLevelType w:val="multilevel"/>
    <w:tmpl w:val="5704BBF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B192295"/>
    <w:multiLevelType w:val="hybridMultilevel"/>
    <w:tmpl w:val="60BA40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DC1A87"/>
    <w:multiLevelType w:val="hybridMultilevel"/>
    <w:tmpl w:val="C2A25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9C45F1"/>
    <w:multiLevelType w:val="hybridMultilevel"/>
    <w:tmpl w:val="DEF05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156155"/>
    <w:multiLevelType w:val="hybridMultilevel"/>
    <w:tmpl w:val="A2E0F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4925AB"/>
    <w:multiLevelType w:val="hybridMultilevel"/>
    <w:tmpl w:val="BC5CC562"/>
    <w:lvl w:ilvl="0" w:tplc="7F88089C">
      <w:start w:val="5"/>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D700E6"/>
    <w:multiLevelType w:val="hybridMultilevel"/>
    <w:tmpl w:val="CDD4C906"/>
    <w:lvl w:ilvl="0" w:tplc="D5D4D44A">
      <w:start w:val="2016"/>
      <w:numFmt w:val="bullet"/>
      <w:lvlText w:val="-"/>
      <w:lvlJc w:val="left"/>
      <w:pPr>
        <w:ind w:left="1080" w:hanging="360"/>
      </w:pPr>
      <w:rPr>
        <w:rFonts w:ascii="Calibri" w:eastAsia="Calibr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27C4D2D"/>
    <w:multiLevelType w:val="hybridMultilevel"/>
    <w:tmpl w:val="0A4EBB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4BB760E"/>
    <w:multiLevelType w:val="hybridMultilevel"/>
    <w:tmpl w:val="E2E86F50"/>
    <w:lvl w:ilvl="0" w:tplc="A9A6BA70">
      <w:start w:val="2"/>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46BF5117"/>
    <w:multiLevelType w:val="hybridMultilevel"/>
    <w:tmpl w:val="5E707F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6EF1073"/>
    <w:multiLevelType w:val="hybridMultilevel"/>
    <w:tmpl w:val="EB4E9870"/>
    <w:lvl w:ilvl="0" w:tplc="EEC8045E">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8B0469E"/>
    <w:multiLevelType w:val="hybridMultilevel"/>
    <w:tmpl w:val="C400AB50"/>
    <w:lvl w:ilvl="0" w:tplc="0809000F">
      <w:start w:val="1"/>
      <w:numFmt w:val="decimal"/>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7" w15:restartNumberingAfterBreak="0">
    <w:nsid w:val="4C674B6B"/>
    <w:multiLevelType w:val="hybridMultilevel"/>
    <w:tmpl w:val="3D94C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FB00E6"/>
    <w:multiLevelType w:val="hybridMultilevel"/>
    <w:tmpl w:val="60BEE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E0517D"/>
    <w:multiLevelType w:val="hybridMultilevel"/>
    <w:tmpl w:val="C706AFA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7E945BA"/>
    <w:multiLevelType w:val="hybridMultilevel"/>
    <w:tmpl w:val="572811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9E43916"/>
    <w:multiLevelType w:val="hybridMultilevel"/>
    <w:tmpl w:val="69380366"/>
    <w:lvl w:ilvl="0" w:tplc="BDA2A8A8">
      <w:start w:val="1"/>
      <w:numFmt w:val="bullet"/>
      <w:lvlText w:val=""/>
      <w:lvlJc w:val="left"/>
      <w:pPr>
        <w:ind w:left="720" w:hanging="360"/>
      </w:pPr>
      <w:rPr>
        <w:rFonts w:ascii="Symbol" w:hAnsi="Symbol" w:hint="default"/>
        <w:color w:val="3B6B27"/>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A622586"/>
    <w:multiLevelType w:val="hybridMultilevel"/>
    <w:tmpl w:val="B7908DEC"/>
    <w:lvl w:ilvl="0" w:tplc="7F88089C">
      <w:start w:val="20"/>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A032F5"/>
    <w:multiLevelType w:val="hybridMultilevel"/>
    <w:tmpl w:val="51F82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14018D"/>
    <w:multiLevelType w:val="hybridMultilevel"/>
    <w:tmpl w:val="3F5288FE"/>
    <w:lvl w:ilvl="0" w:tplc="0B4CB580">
      <w:start w:val="20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9D68BE"/>
    <w:multiLevelType w:val="hybridMultilevel"/>
    <w:tmpl w:val="FAC4CD08"/>
    <w:lvl w:ilvl="0" w:tplc="73D64456">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6" w15:restartNumberingAfterBreak="0">
    <w:nsid w:val="61D735E0"/>
    <w:multiLevelType w:val="hybridMultilevel"/>
    <w:tmpl w:val="1EB4234E"/>
    <w:lvl w:ilvl="0" w:tplc="BDA2A8A8">
      <w:start w:val="1"/>
      <w:numFmt w:val="bullet"/>
      <w:lvlText w:val=""/>
      <w:lvlJc w:val="left"/>
      <w:pPr>
        <w:ind w:left="720" w:hanging="360"/>
      </w:pPr>
      <w:rPr>
        <w:rFonts w:ascii="Symbol" w:hAnsi="Symbol" w:hint="default"/>
        <w:color w:val="3B6B27"/>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22F60F2"/>
    <w:multiLevelType w:val="hybridMultilevel"/>
    <w:tmpl w:val="CEBC83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68C5465"/>
    <w:multiLevelType w:val="hybridMultilevel"/>
    <w:tmpl w:val="C8109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0B29DB"/>
    <w:multiLevelType w:val="hybridMultilevel"/>
    <w:tmpl w:val="E2E64E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E3A0478"/>
    <w:multiLevelType w:val="hybridMultilevel"/>
    <w:tmpl w:val="2312B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AF24DE"/>
    <w:multiLevelType w:val="hybridMultilevel"/>
    <w:tmpl w:val="1A5475C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4D8539B"/>
    <w:multiLevelType w:val="hybridMultilevel"/>
    <w:tmpl w:val="24DE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FF88BF6">
      <w:numFmt w:val="bullet"/>
      <w:lvlText w:val="•"/>
      <w:lvlJc w:val="left"/>
      <w:pPr>
        <w:ind w:left="2160" w:hanging="360"/>
      </w:pPr>
      <w:rPr>
        <w:rFonts w:ascii="Optima LT Std" w:eastAsiaTheme="minorHAnsi" w:hAnsi="Optima LT Std" w:cs="Optima LT Std"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651DB2"/>
    <w:multiLevelType w:val="hybridMultilevel"/>
    <w:tmpl w:val="57E43586"/>
    <w:lvl w:ilvl="0" w:tplc="81F296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A782014"/>
    <w:multiLevelType w:val="hybridMultilevel"/>
    <w:tmpl w:val="D2EC4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96092D"/>
    <w:multiLevelType w:val="hybridMultilevel"/>
    <w:tmpl w:val="6ADC0D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F663FBE"/>
    <w:multiLevelType w:val="hybridMultilevel"/>
    <w:tmpl w:val="59C8D8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2"/>
  </w:num>
  <w:num w:numId="2">
    <w:abstractNumId w:val="15"/>
  </w:num>
  <w:num w:numId="3">
    <w:abstractNumId w:val="10"/>
  </w:num>
  <w:num w:numId="4">
    <w:abstractNumId w:val="0"/>
  </w:num>
  <w:num w:numId="5">
    <w:abstractNumId w:val="33"/>
  </w:num>
  <w:num w:numId="6">
    <w:abstractNumId w:val="12"/>
  </w:num>
  <w:num w:numId="7">
    <w:abstractNumId w:val="18"/>
  </w:num>
  <w:num w:numId="8">
    <w:abstractNumId w:val="36"/>
  </w:num>
  <w:num w:numId="9">
    <w:abstractNumId w:val="14"/>
  </w:num>
  <w:num w:numId="10">
    <w:abstractNumId w:val="6"/>
  </w:num>
  <w:num w:numId="11">
    <w:abstractNumId w:val="9"/>
  </w:num>
  <w:num w:numId="12">
    <w:abstractNumId w:val="30"/>
  </w:num>
  <w:num w:numId="13">
    <w:abstractNumId w:val="23"/>
  </w:num>
  <w:num w:numId="14">
    <w:abstractNumId w:val="7"/>
  </w:num>
  <w:num w:numId="15">
    <w:abstractNumId w:val="29"/>
  </w:num>
  <w:num w:numId="16">
    <w:abstractNumId w:val="5"/>
  </w:num>
  <w:num w:numId="17">
    <w:abstractNumId w:val="34"/>
  </w:num>
  <w:num w:numId="18">
    <w:abstractNumId w:val="32"/>
  </w:num>
  <w:num w:numId="19">
    <w:abstractNumId w:val="28"/>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4"/>
  </w:num>
  <w:num w:numId="28">
    <w:abstractNumId w:val="17"/>
  </w:num>
  <w:num w:numId="29">
    <w:abstractNumId w:val="11"/>
  </w:num>
  <w:num w:numId="30">
    <w:abstractNumId w:val="24"/>
  </w:num>
  <w:num w:numId="31">
    <w:abstractNumId w:val="35"/>
  </w:num>
  <w:num w:numId="32">
    <w:abstractNumId w:val="27"/>
  </w:num>
  <w:num w:numId="33">
    <w:abstractNumId w:val="26"/>
  </w:num>
  <w:num w:numId="34">
    <w:abstractNumId w:val="20"/>
  </w:num>
  <w:num w:numId="35">
    <w:abstractNumId w:val="35"/>
  </w:num>
  <w:num w:numId="36">
    <w:abstractNumId w:val="13"/>
  </w:num>
  <w:num w:numId="37">
    <w:abstractNumId w:val="13"/>
  </w:num>
  <w:num w:numId="38">
    <w:abstractNumId w:val="16"/>
  </w:num>
  <w:num w:numId="39">
    <w:abstractNumId w:val="25"/>
  </w:num>
  <w:num w:numId="40">
    <w:abstractNumId w:val="2"/>
  </w:num>
  <w:num w:numId="41">
    <w:abstractNumId w:val="5"/>
  </w:num>
  <w:num w:numId="42">
    <w:abstractNumId w:val="5"/>
  </w:num>
  <w:num w:numId="43">
    <w:abstractNumId w:val="5"/>
  </w:num>
  <w:num w:numId="44">
    <w:abstractNumId w:val="5"/>
  </w:num>
  <w:num w:numId="45">
    <w:abstractNumId w:val="5"/>
  </w:num>
  <w:num w:numId="46">
    <w:abstractNumId w:val="5"/>
  </w:num>
  <w:num w:numId="47">
    <w:abstractNumId w:val="31"/>
  </w:num>
  <w:num w:numId="48">
    <w:abstractNumId w:val="21"/>
  </w:num>
  <w:num w:numId="49">
    <w:abstractNumId w:val="19"/>
  </w:num>
  <w:num w:numId="50">
    <w:abstractNumId w:val="3"/>
  </w:num>
  <w:num w:numId="51">
    <w:abstractNumId w:val="8"/>
  </w:num>
  <w:num w:numId="52">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4FE4"/>
    <w:rsid w:val="00000B05"/>
    <w:rsid w:val="00017316"/>
    <w:rsid w:val="00034F3C"/>
    <w:rsid w:val="0003570F"/>
    <w:rsid w:val="000600C8"/>
    <w:rsid w:val="0006386C"/>
    <w:rsid w:val="00067B39"/>
    <w:rsid w:val="00071AB6"/>
    <w:rsid w:val="000753AD"/>
    <w:rsid w:val="00095EDC"/>
    <w:rsid w:val="00097A9B"/>
    <w:rsid w:val="000E1DDA"/>
    <w:rsid w:val="00111C3A"/>
    <w:rsid w:val="0012594E"/>
    <w:rsid w:val="00147413"/>
    <w:rsid w:val="00150E5D"/>
    <w:rsid w:val="00150FDE"/>
    <w:rsid w:val="00155C54"/>
    <w:rsid w:val="00166DFB"/>
    <w:rsid w:val="00182069"/>
    <w:rsid w:val="001906A1"/>
    <w:rsid w:val="0019422E"/>
    <w:rsid w:val="001A57A8"/>
    <w:rsid w:val="001D0175"/>
    <w:rsid w:val="00215DAF"/>
    <w:rsid w:val="00220699"/>
    <w:rsid w:val="00233F2E"/>
    <w:rsid w:val="0024564B"/>
    <w:rsid w:val="002721B2"/>
    <w:rsid w:val="00276DAB"/>
    <w:rsid w:val="002A1374"/>
    <w:rsid w:val="002A33CF"/>
    <w:rsid w:val="002B2DE4"/>
    <w:rsid w:val="002B401D"/>
    <w:rsid w:val="002C0A60"/>
    <w:rsid w:val="002C286B"/>
    <w:rsid w:val="002D0C63"/>
    <w:rsid w:val="002D45A1"/>
    <w:rsid w:val="002F1FA5"/>
    <w:rsid w:val="002F2BB9"/>
    <w:rsid w:val="002F69E5"/>
    <w:rsid w:val="00317B6D"/>
    <w:rsid w:val="00332D84"/>
    <w:rsid w:val="003603BB"/>
    <w:rsid w:val="003762F9"/>
    <w:rsid w:val="003A153C"/>
    <w:rsid w:val="003B4E7E"/>
    <w:rsid w:val="003C0985"/>
    <w:rsid w:val="003C2B9D"/>
    <w:rsid w:val="003C379C"/>
    <w:rsid w:val="003C4EF1"/>
    <w:rsid w:val="003C702C"/>
    <w:rsid w:val="003E0E37"/>
    <w:rsid w:val="003F543C"/>
    <w:rsid w:val="00404A77"/>
    <w:rsid w:val="004118DE"/>
    <w:rsid w:val="0041616F"/>
    <w:rsid w:val="004234F2"/>
    <w:rsid w:val="004277A5"/>
    <w:rsid w:val="00431150"/>
    <w:rsid w:val="004349E6"/>
    <w:rsid w:val="00443FB2"/>
    <w:rsid w:val="004643E4"/>
    <w:rsid w:val="00475216"/>
    <w:rsid w:val="00495283"/>
    <w:rsid w:val="004C063A"/>
    <w:rsid w:val="004D23AF"/>
    <w:rsid w:val="004F2033"/>
    <w:rsid w:val="00526297"/>
    <w:rsid w:val="0052630C"/>
    <w:rsid w:val="00540D40"/>
    <w:rsid w:val="00566189"/>
    <w:rsid w:val="00577872"/>
    <w:rsid w:val="005A3855"/>
    <w:rsid w:val="005A494C"/>
    <w:rsid w:val="005C6126"/>
    <w:rsid w:val="00600CE8"/>
    <w:rsid w:val="0060553E"/>
    <w:rsid w:val="006116A8"/>
    <w:rsid w:val="006121CD"/>
    <w:rsid w:val="00634798"/>
    <w:rsid w:val="00641F99"/>
    <w:rsid w:val="00663257"/>
    <w:rsid w:val="00677128"/>
    <w:rsid w:val="00686B99"/>
    <w:rsid w:val="006938F7"/>
    <w:rsid w:val="006C1DAC"/>
    <w:rsid w:val="006C221A"/>
    <w:rsid w:val="006D6865"/>
    <w:rsid w:val="00700283"/>
    <w:rsid w:val="007005C1"/>
    <w:rsid w:val="00711FEB"/>
    <w:rsid w:val="00717F00"/>
    <w:rsid w:val="007224C1"/>
    <w:rsid w:val="00741433"/>
    <w:rsid w:val="0075484E"/>
    <w:rsid w:val="00754894"/>
    <w:rsid w:val="00763AC4"/>
    <w:rsid w:val="007721E0"/>
    <w:rsid w:val="00775FCA"/>
    <w:rsid w:val="00782AA3"/>
    <w:rsid w:val="0079349D"/>
    <w:rsid w:val="007949DC"/>
    <w:rsid w:val="007A7107"/>
    <w:rsid w:val="007C27FC"/>
    <w:rsid w:val="007D6D27"/>
    <w:rsid w:val="007F0B11"/>
    <w:rsid w:val="0080164D"/>
    <w:rsid w:val="008110FE"/>
    <w:rsid w:val="00814ECD"/>
    <w:rsid w:val="00820361"/>
    <w:rsid w:val="00832AD2"/>
    <w:rsid w:val="00835E8F"/>
    <w:rsid w:val="00857CE5"/>
    <w:rsid w:val="00875716"/>
    <w:rsid w:val="008B2089"/>
    <w:rsid w:val="008D521A"/>
    <w:rsid w:val="008F1E9D"/>
    <w:rsid w:val="008F62E7"/>
    <w:rsid w:val="00904616"/>
    <w:rsid w:val="0091075B"/>
    <w:rsid w:val="00915EA1"/>
    <w:rsid w:val="00933615"/>
    <w:rsid w:val="009551BE"/>
    <w:rsid w:val="009B17CD"/>
    <w:rsid w:val="009C542A"/>
    <w:rsid w:val="009E2C6D"/>
    <w:rsid w:val="009E6D25"/>
    <w:rsid w:val="009F370A"/>
    <w:rsid w:val="00A01A6C"/>
    <w:rsid w:val="00A225E8"/>
    <w:rsid w:val="00A32422"/>
    <w:rsid w:val="00A36975"/>
    <w:rsid w:val="00A82735"/>
    <w:rsid w:val="00AA0950"/>
    <w:rsid w:val="00AA1159"/>
    <w:rsid w:val="00AB582D"/>
    <w:rsid w:val="00AB71D3"/>
    <w:rsid w:val="00AC3ECD"/>
    <w:rsid w:val="00AD794B"/>
    <w:rsid w:val="00B077C1"/>
    <w:rsid w:val="00B14CD3"/>
    <w:rsid w:val="00B34EEA"/>
    <w:rsid w:val="00B461B0"/>
    <w:rsid w:val="00B66758"/>
    <w:rsid w:val="00B7159E"/>
    <w:rsid w:val="00B8429B"/>
    <w:rsid w:val="00B9099E"/>
    <w:rsid w:val="00B95EAA"/>
    <w:rsid w:val="00B964E1"/>
    <w:rsid w:val="00BA5AA3"/>
    <w:rsid w:val="00BA5F98"/>
    <w:rsid w:val="00BA7EE0"/>
    <w:rsid w:val="00BB50E3"/>
    <w:rsid w:val="00BB6CA6"/>
    <w:rsid w:val="00BC14F4"/>
    <w:rsid w:val="00BC223C"/>
    <w:rsid w:val="00BE78E4"/>
    <w:rsid w:val="00BF4FE4"/>
    <w:rsid w:val="00C0571F"/>
    <w:rsid w:val="00C07000"/>
    <w:rsid w:val="00C07F3E"/>
    <w:rsid w:val="00C33355"/>
    <w:rsid w:val="00C44A3F"/>
    <w:rsid w:val="00C82FCE"/>
    <w:rsid w:val="00C96DAF"/>
    <w:rsid w:val="00CA7358"/>
    <w:rsid w:val="00CB0A2F"/>
    <w:rsid w:val="00CC7001"/>
    <w:rsid w:val="00CD4260"/>
    <w:rsid w:val="00D214AE"/>
    <w:rsid w:val="00D65A53"/>
    <w:rsid w:val="00D80581"/>
    <w:rsid w:val="00D82FC9"/>
    <w:rsid w:val="00DA12A3"/>
    <w:rsid w:val="00DA7E8A"/>
    <w:rsid w:val="00DE4A8F"/>
    <w:rsid w:val="00DE4E72"/>
    <w:rsid w:val="00DF3651"/>
    <w:rsid w:val="00DF39B6"/>
    <w:rsid w:val="00DF548E"/>
    <w:rsid w:val="00E00BBF"/>
    <w:rsid w:val="00E05489"/>
    <w:rsid w:val="00E07796"/>
    <w:rsid w:val="00E112F6"/>
    <w:rsid w:val="00E22F6A"/>
    <w:rsid w:val="00E267D1"/>
    <w:rsid w:val="00E26F5D"/>
    <w:rsid w:val="00E32C3D"/>
    <w:rsid w:val="00E456B7"/>
    <w:rsid w:val="00E524EA"/>
    <w:rsid w:val="00E56614"/>
    <w:rsid w:val="00E605B8"/>
    <w:rsid w:val="00E80FCD"/>
    <w:rsid w:val="00E846AB"/>
    <w:rsid w:val="00E8750E"/>
    <w:rsid w:val="00EA1395"/>
    <w:rsid w:val="00EA20C3"/>
    <w:rsid w:val="00EA26BE"/>
    <w:rsid w:val="00ED2128"/>
    <w:rsid w:val="00ED6829"/>
    <w:rsid w:val="00EE731E"/>
    <w:rsid w:val="00EE7413"/>
    <w:rsid w:val="00F30BA4"/>
    <w:rsid w:val="00F37253"/>
    <w:rsid w:val="00F46523"/>
    <w:rsid w:val="00F46CBB"/>
    <w:rsid w:val="00F47B1E"/>
    <w:rsid w:val="00F76D1B"/>
    <w:rsid w:val="00F83964"/>
    <w:rsid w:val="00F871BB"/>
    <w:rsid w:val="00FB18E1"/>
    <w:rsid w:val="00FC3225"/>
    <w:rsid w:val="00FD7B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5:docId w15:val="{D2CC997E-0FDA-4E9E-B576-8C3C41F2C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AB582D"/>
    <w:pPr>
      <w:keepNext/>
      <w:keepLines/>
      <w:numPr>
        <w:numId w:val="16"/>
      </w:numPr>
      <w:spacing w:after="0"/>
      <w:outlineLvl w:val="0"/>
    </w:pPr>
    <w:rPr>
      <w:rFonts w:asciiTheme="majorHAnsi" w:eastAsiaTheme="majorEastAsia" w:hAnsiTheme="majorHAnsi" w:cstheme="majorBidi"/>
      <w:b/>
      <w:color w:val="2E74B5" w:themeColor="accent1" w:themeShade="BF"/>
      <w:sz w:val="32"/>
      <w:szCs w:val="32"/>
    </w:rPr>
  </w:style>
  <w:style w:type="paragraph" w:styleId="Heading2">
    <w:name w:val="heading 2"/>
    <w:basedOn w:val="Normal"/>
    <w:next w:val="Normal"/>
    <w:link w:val="Heading2Char"/>
    <w:uiPriority w:val="9"/>
    <w:unhideWhenUsed/>
    <w:qFormat/>
    <w:rsid w:val="00495283"/>
    <w:pPr>
      <w:keepNext/>
      <w:keepLines/>
      <w:numPr>
        <w:ilvl w:val="1"/>
        <w:numId w:val="16"/>
      </w:numPr>
      <w:spacing w:after="0"/>
      <w:outlineLvl w:val="1"/>
    </w:pPr>
    <w:rPr>
      <w:rFonts w:asciiTheme="majorHAnsi" w:eastAsiaTheme="majorEastAsia" w:hAnsiTheme="majorHAnsi" w:cstheme="majorBidi"/>
      <w:b/>
      <w:color w:val="2E74B5" w:themeColor="accent1" w:themeShade="BF"/>
      <w:sz w:val="26"/>
      <w:szCs w:val="26"/>
    </w:rPr>
  </w:style>
  <w:style w:type="paragraph" w:styleId="Heading3">
    <w:name w:val="heading 3"/>
    <w:basedOn w:val="Normal"/>
    <w:next w:val="Normal"/>
    <w:link w:val="Heading3Char"/>
    <w:uiPriority w:val="9"/>
    <w:semiHidden/>
    <w:unhideWhenUsed/>
    <w:qFormat/>
    <w:rsid w:val="00B7159E"/>
    <w:pPr>
      <w:keepNext/>
      <w:keepLines/>
      <w:numPr>
        <w:ilvl w:val="2"/>
        <w:numId w:val="16"/>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B7159E"/>
    <w:pPr>
      <w:keepNext/>
      <w:keepLines/>
      <w:numPr>
        <w:ilvl w:val="3"/>
        <w:numId w:val="16"/>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B7159E"/>
    <w:pPr>
      <w:keepNext/>
      <w:keepLines/>
      <w:numPr>
        <w:ilvl w:val="4"/>
        <w:numId w:val="16"/>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B7159E"/>
    <w:pPr>
      <w:keepNext/>
      <w:keepLines/>
      <w:numPr>
        <w:ilvl w:val="5"/>
        <w:numId w:val="16"/>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B7159E"/>
    <w:pPr>
      <w:keepNext/>
      <w:keepLines/>
      <w:numPr>
        <w:ilvl w:val="6"/>
        <w:numId w:val="16"/>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B7159E"/>
    <w:pPr>
      <w:keepNext/>
      <w:keepLines/>
      <w:numPr>
        <w:ilvl w:val="7"/>
        <w:numId w:val="16"/>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7159E"/>
    <w:pPr>
      <w:keepNext/>
      <w:keepLines/>
      <w:numPr>
        <w:ilvl w:val="8"/>
        <w:numId w:val="1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F4F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4FE4"/>
  </w:style>
  <w:style w:type="paragraph" w:styleId="Footer">
    <w:name w:val="footer"/>
    <w:basedOn w:val="Normal"/>
    <w:link w:val="FooterChar"/>
    <w:uiPriority w:val="99"/>
    <w:unhideWhenUsed/>
    <w:rsid w:val="00BF4F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4FE4"/>
  </w:style>
  <w:style w:type="character" w:customStyle="1" w:styleId="Heading1Char">
    <w:name w:val="Heading 1 Char"/>
    <w:basedOn w:val="DefaultParagraphFont"/>
    <w:link w:val="Heading1"/>
    <w:uiPriority w:val="9"/>
    <w:rsid w:val="00AB582D"/>
    <w:rPr>
      <w:rFonts w:asciiTheme="majorHAnsi" w:eastAsiaTheme="majorEastAsia" w:hAnsiTheme="majorHAnsi" w:cstheme="majorBidi"/>
      <w:b/>
      <w:color w:val="2E74B5" w:themeColor="accent1" w:themeShade="BF"/>
      <w:sz w:val="32"/>
      <w:szCs w:val="32"/>
    </w:rPr>
  </w:style>
  <w:style w:type="paragraph" w:styleId="ListParagraph">
    <w:name w:val="List Paragraph"/>
    <w:basedOn w:val="Normal"/>
    <w:uiPriority w:val="34"/>
    <w:qFormat/>
    <w:rsid w:val="00475216"/>
    <w:pPr>
      <w:ind w:left="720"/>
      <w:contextualSpacing/>
    </w:pPr>
  </w:style>
  <w:style w:type="character" w:styleId="Hyperlink">
    <w:name w:val="Hyperlink"/>
    <w:basedOn w:val="DefaultParagraphFont"/>
    <w:uiPriority w:val="99"/>
    <w:unhideWhenUsed/>
    <w:rsid w:val="003762F9"/>
    <w:rPr>
      <w:color w:val="0563C1" w:themeColor="hyperlink"/>
      <w:u w:val="single"/>
    </w:rPr>
  </w:style>
  <w:style w:type="character" w:customStyle="1" w:styleId="Heading2Char">
    <w:name w:val="Heading 2 Char"/>
    <w:basedOn w:val="DefaultParagraphFont"/>
    <w:link w:val="Heading2"/>
    <w:uiPriority w:val="9"/>
    <w:rsid w:val="00495283"/>
    <w:rPr>
      <w:rFonts w:asciiTheme="majorHAnsi" w:eastAsiaTheme="majorEastAsia" w:hAnsiTheme="majorHAnsi" w:cstheme="majorBidi"/>
      <w:b/>
      <w:color w:val="2E74B5" w:themeColor="accent1" w:themeShade="BF"/>
      <w:sz w:val="26"/>
      <w:szCs w:val="26"/>
    </w:rPr>
  </w:style>
  <w:style w:type="character" w:customStyle="1" w:styleId="Heading3Char">
    <w:name w:val="Heading 3 Char"/>
    <w:basedOn w:val="DefaultParagraphFont"/>
    <w:link w:val="Heading3"/>
    <w:uiPriority w:val="9"/>
    <w:semiHidden/>
    <w:rsid w:val="00B7159E"/>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B7159E"/>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B7159E"/>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B7159E"/>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B7159E"/>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B7159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7159E"/>
    <w:rPr>
      <w:rFonts w:asciiTheme="majorHAnsi" w:eastAsiaTheme="majorEastAsia" w:hAnsiTheme="majorHAnsi" w:cstheme="majorBidi"/>
      <w:i/>
      <w:iCs/>
      <w:color w:val="272727" w:themeColor="text1" w:themeTint="D8"/>
      <w:sz w:val="21"/>
      <w:szCs w:val="21"/>
    </w:rPr>
  </w:style>
  <w:style w:type="paragraph" w:customStyle="1" w:styleId="Pa27">
    <w:name w:val="Pa27"/>
    <w:basedOn w:val="Normal"/>
    <w:next w:val="Normal"/>
    <w:uiPriority w:val="99"/>
    <w:rsid w:val="00700283"/>
    <w:pPr>
      <w:autoSpaceDE w:val="0"/>
      <w:autoSpaceDN w:val="0"/>
      <w:adjustRightInd w:val="0"/>
      <w:spacing w:after="0" w:line="241" w:lineRule="atLeast"/>
    </w:pPr>
    <w:rPr>
      <w:rFonts w:ascii="Optima LT Std DemiBold" w:hAnsi="Optima LT Std DemiBold"/>
      <w:sz w:val="24"/>
      <w:szCs w:val="24"/>
    </w:rPr>
  </w:style>
  <w:style w:type="paragraph" w:customStyle="1" w:styleId="Default">
    <w:name w:val="Default"/>
    <w:rsid w:val="00ED6829"/>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semiHidden/>
    <w:unhideWhenUsed/>
    <w:rsid w:val="00ED6829"/>
    <w:rPr>
      <w:sz w:val="16"/>
      <w:szCs w:val="16"/>
    </w:rPr>
  </w:style>
  <w:style w:type="paragraph" w:styleId="CommentText">
    <w:name w:val="annotation text"/>
    <w:basedOn w:val="Normal"/>
    <w:link w:val="CommentTextChar"/>
    <w:uiPriority w:val="99"/>
    <w:semiHidden/>
    <w:unhideWhenUsed/>
    <w:rsid w:val="00ED6829"/>
    <w:pPr>
      <w:spacing w:line="240" w:lineRule="auto"/>
    </w:pPr>
    <w:rPr>
      <w:sz w:val="20"/>
      <w:szCs w:val="20"/>
    </w:rPr>
  </w:style>
  <w:style w:type="character" w:customStyle="1" w:styleId="CommentTextChar">
    <w:name w:val="Comment Text Char"/>
    <w:basedOn w:val="DefaultParagraphFont"/>
    <w:link w:val="CommentText"/>
    <w:uiPriority w:val="99"/>
    <w:semiHidden/>
    <w:rsid w:val="00ED6829"/>
    <w:rPr>
      <w:sz w:val="20"/>
      <w:szCs w:val="20"/>
    </w:rPr>
  </w:style>
  <w:style w:type="paragraph" w:styleId="BalloonText">
    <w:name w:val="Balloon Text"/>
    <w:basedOn w:val="Normal"/>
    <w:link w:val="BalloonTextChar"/>
    <w:uiPriority w:val="99"/>
    <w:semiHidden/>
    <w:unhideWhenUsed/>
    <w:rsid w:val="00ED682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6829"/>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12594E"/>
    <w:rPr>
      <w:b/>
      <w:bCs/>
    </w:rPr>
  </w:style>
  <w:style w:type="character" w:customStyle="1" w:styleId="CommentSubjectChar">
    <w:name w:val="Comment Subject Char"/>
    <w:basedOn w:val="CommentTextChar"/>
    <w:link w:val="CommentSubject"/>
    <w:uiPriority w:val="99"/>
    <w:semiHidden/>
    <w:rsid w:val="0012594E"/>
    <w:rPr>
      <w:b/>
      <w:bCs/>
      <w:sz w:val="20"/>
      <w:szCs w:val="20"/>
    </w:rPr>
  </w:style>
  <w:style w:type="paragraph" w:customStyle="1" w:styleId="Pa13">
    <w:name w:val="Pa13"/>
    <w:basedOn w:val="Normal"/>
    <w:next w:val="Normal"/>
    <w:uiPriority w:val="99"/>
    <w:rsid w:val="003C4EF1"/>
    <w:pPr>
      <w:autoSpaceDE w:val="0"/>
      <w:autoSpaceDN w:val="0"/>
      <w:adjustRightInd w:val="0"/>
      <w:spacing w:after="0" w:line="201" w:lineRule="atLeast"/>
    </w:pPr>
    <w:rPr>
      <w:rFonts w:ascii="Optima LT Std DemiBold" w:hAnsi="Optima LT Std DemiBold"/>
      <w:sz w:val="24"/>
      <w:szCs w:val="24"/>
    </w:rPr>
  </w:style>
  <w:style w:type="paragraph" w:styleId="NoSpacing">
    <w:name w:val="No Spacing"/>
    <w:uiPriority w:val="1"/>
    <w:qFormat/>
    <w:rsid w:val="00DA12A3"/>
    <w:pPr>
      <w:spacing w:after="0" w:line="240" w:lineRule="auto"/>
    </w:pPr>
    <w:rPr>
      <w:rFonts w:ascii="Calibri" w:eastAsia="Calibri" w:hAnsi="Calibri" w:cs="Arial"/>
    </w:rPr>
  </w:style>
  <w:style w:type="paragraph" w:styleId="FootnoteText">
    <w:name w:val="footnote text"/>
    <w:basedOn w:val="Normal"/>
    <w:link w:val="FootnoteTextChar"/>
    <w:uiPriority w:val="99"/>
    <w:semiHidden/>
    <w:unhideWhenUsed/>
    <w:rsid w:val="0003570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3570F"/>
    <w:rPr>
      <w:sz w:val="20"/>
      <w:szCs w:val="20"/>
    </w:rPr>
  </w:style>
  <w:style w:type="character" w:styleId="FootnoteReference">
    <w:name w:val="footnote reference"/>
    <w:basedOn w:val="DefaultParagraphFont"/>
    <w:uiPriority w:val="99"/>
    <w:semiHidden/>
    <w:unhideWhenUsed/>
    <w:rsid w:val="0003570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536655">
      <w:bodyDiv w:val="1"/>
      <w:marLeft w:val="0"/>
      <w:marRight w:val="0"/>
      <w:marTop w:val="0"/>
      <w:marBottom w:val="0"/>
      <w:divBdr>
        <w:top w:val="none" w:sz="0" w:space="0" w:color="auto"/>
        <w:left w:val="none" w:sz="0" w:space="0" w:color="auto"/>
        <w:bottom w:val="none" w:sz="0" w:space="0" w:color="auto"/>
        <w:right w:val="none" w:sz="0" w:space="0" w:color="auto"/>
      </w:divBdr>
    </w:div>
    <w:div w:id="178090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28E8B559-77BE-414F-8758-4469CF0AF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772</Words>
  <Characters>4403</Characters>
  <Application>Microsoft Office Word</Application>
  <DocSecurity>4</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World Food Programme</Company>
  <LinksUpToDate>false</LinksUpToDate>
  <CharactersWithSpaces>5165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KASSE Rikke</dc:creator>
  <cp:lastModifiedBy>Ben</cp:lastModifiedBy>
  <cp:revision>2</cp:revision>
  <cp:lastPrinted>2016-08-24T10:31:00Z</cp:lastPrinted>
  <dcterms:created xsi:type="dcterms:W3CDTF">2016-09-15T09:34:00Z</dcterms:created>
  <dcterms:modified xsi:type="dcterms:W3CDTF">2016-09-15T09:34:00Z</dcterms:modified>
</cp:coreProperties>
</file>